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tbl>
      <w:tblPr>
        <w:tblW w:w="4956" w:type="pct"/>
        <w:tblCellSpacing w:w="37" w:type="dxa"/>
        <w:tblInd w:w="-1" w:type="dxa"/>
        <w:tblLayout w:type="fixed"/>
        <w:tblCellMar>
          <w:left w:w="0" w:type="dxa"/>
          <w:right w:w="0" w:type="dxa"/>
        </w:tblCellMar>
        <w:tblLook w:val="04A0"/>
      </w:tblPr>
      <w:tblGrid>
        <w:gridCol w:w="8858"/>
      </w:tblGrid>
      <w:tr w:rsidR="00001565" w:rsidTr="008D2886">
        <w:trPr>
          <w:trHeight w:val="2404"/>
          <w:tblCellSpacing w:w="37" w:type="dxa"/>
        </w:trPr>
        <w:tc>
          <w:tcPr>
            <w:tcW w:w="4916" w:type="pct"/>
            <w:hideMark/>
          </w:tcPr>
          <w:p w:rsidR="00001565" w:rsidRPr="00B2233E" w:rsidRDefault="00C063FC" w:rsidP="00001565">
            <w:pPr>
              <w:pStyle w:val="NormalWeb"/>
              <w:spacing w:before="0" w:beforeAutospacing="0" w:after="0" w:afterAutospacing="0"/>
              <w:jc w:val="center"/>
              <w:rPr>
                <w:rFonts w:ascii="Arial" w:hAnsi="Arial" w:cs="Arial"/>
                <w:b/>
                <w:bCs/>
                <w:caps/>
                <w:color w:val="002F5D"/>
              </w:rPr>
            </w:pPr>
            <w:r w:rsidRPr="00B2233E">
              <w:rPr>
                <w:rFonts w:ascii="Arial" w:hAnsi="Arial" w:cs="Arial"/>
                <w:b/>
                <w:bCs/>
                <w:caps/>
                <w:color w:val="002F5D"/>
              </w:rPr>
              <w:t>IMPOSITIVAS</w:t>
            </w:r>
          </w:p>
          <w:p w:rsidR="00001565" w:rsidRPr="00B2233E" w:rsidRDefault="00B2233E" w:rsidP="00001565">
            <w:pPr>
              <w:pStyle w:val="NormalWeb"/>
              <w:spacing w:before="0" w:beforeAutospacing="0" w:after="0" w:afterAutospacing="0"/>
              <w:jc w:val="both"/>
              <w:rPr>
                <w:rFonts w:ascii="Arial" w:hAnsi="Arial" w:cs="Arial"/>
                <w:b/>
                <w:bCs/>
                <w:caps/>
                <w:color w:val="002F5D"/>
              </w:rPr>
            </w:pPr>
            <w:r w:rsidRPr="00B2233E">
              <w:rPr>
                <w:rFonts w:ascii="Arial" w:hAnsi="Arial" w:cs="Arial"/>
                <w:b/>
                <w:bCs/>
                <w:caps/>
                <w:color w:val="002F5D"/>
                <w:sz w:val="22"/>
                <w:szCs w:val="22"/>
              </w:rPr>
              <w:t>LEGISLACION</w:t>
            </w:r>
          </w:p>
          <w:p w:rsidR="00B2233E" w:rsidRDefault="00B2233E" w:rsidP="00B2233E">
            <w:pPr>
              <w:pStyle w:val="NormalWeb"/>
              <w:spacing w:before="0" w:beforeAutospacing="0" w:after="0" w:afterAutospacing="0"/>
              <w:jc w:val="both"/>
              <w:rPr>
                <w:rFonts w:ascii="Arial" w:hAnsi="Arial" w:cs="Arial"/>
                <w:b/>
                <w:bCs/>
                <w:caps/>
                <w:color w:val="002F5D"/>
                <w:sz w:val="21"/>
                <w:szCs w:val="21"/>
              </w:rPr>
            </w:pPr>
          </w:p>
          <w:p w:rsidR="009B1798" w:rsidRPr="009B1798" w:rsidRDefault="009B1798" w:rsidP="009B1798">
            <w:pPr>
              <w:pStyle w:val="NormalWeb"/>
              <w:spacing w:before="0" w:beforeAutospacing="0" w:after="0" w:afterAutospacing="0"/>
              <w:jc w:val="both"/>
              <w:rPr>
                <w:rFonts w:ascii="Arial" w:hAnsi="Arial" w:cs="Arial"/>
                <w:b/>
                <w:bCs/>
                <w:caps/>
                <w:color w:val="002F5D"/>
                <w:sz w:val="21"/>
                <w:szCs w:val="21"/>
              </w:rPr>
            </w:pPr>
            <w:r w:rsidRPr="009B1798">
              <w:rPr>
                <w:rFonts w:ascii="Arial" w:hAnsi="Arial" w:cs="Arial"/>
                <w:b/>
                <w:bCs/>
                <w:caps/>
                <w:color w:val="002F5D"/>
                <w:sz w:val="21"/>
                <w:szCs w:val="21"/>
              </w:rPr>
              <w:t>Internos. Inadmisibilidad de la compensación con saldos a favor de otros impuestos</w:t>
            </w:r>
          </w:p>
          <w:p w:rsidR="00B2233E" w:rsidRDefault="00B2233E" w:rsidP="00B2233E">
            <w:pPr>
              <w:pStyle w:val="NormalWeb"/>
              <w:spacing w:before="0" w:beforeAutospacing="0" w:after="0" w:afterAutospacing="0"/>
              <w:jc w:val="both"/>
              <w:rPr>
                <w:rFonts w:ascii="Arial" w:hAnsi="Arial" w:cs="Arial"/>
                <w:b/>
                <w:bCs/>
                <w:caps/>
                <w:color w:val="002F5D"/>
                <w:sz w:val="21"/>
                <w:szCs w:val="21"/>
              </w:rPr>
            </w:pPr>
          </w:p>
          <w:p w:rsidR="009B1798" w:rsidRDefault="009B1798" w:rsidP="00B2233E">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Acercamos la opinión de la Procuración General de la Nación ante el recurso extraordinario interpuesto por la AFIP, en atención al fallo de Cámara favorable obtenido por la empresa </w:t>
            </w:r>
            <w:proofErr w:type="spellStart"/>
            <w:r>
              <w:rPr>
                <w:rFonts w:ascii="Arial" w:eastAsia="Times New Roman" w:hAnsi="Arial" w:cs="Arial"/>
                <w:color w:val="666666"/>
                <w:sz w:val="20"/>
                <w:szCs w:val="20"/>
              </w:rPr>
              <w:t>Alpine</w:t>
            </w:r>
            <w:proofErr w:type="spellEnd"/>
            <w:r>
              <w:rPr>
                <w:rFonts w:ascii="Arial" w:eastAsia="Times New Roman" w:hAnsi="Arial" w:cs="Arial"/>
                <w:color w:val="666666"/>
                <w:sz w:val="20"/>
                <w:szCs w:val="20"/>
              </w:rPr>
              <w:t xml:space="preserve"> </w:t>
            </w:r>
            <w:proofErr w:type="spellStart"/>
            <w:r>
              <w:rPr>
                <w:rFonts w:ascii="Arial" w:eastAsia="Times New Roman" w:hAnsi="Arial" w:cs="Arial"/>
                <w:color w:val="666666"/>
                <w:sz w:val="20"/>
                <w:szCs w:val="20"/>
              </w:rPr>
              <w:t>Electronics</w:t>
            </w:r>
            <w:proofErr w:type="spellEnd"/>
            <w:r>
              <w:rPr>
                <w:rFonts w:ascii="Arial" w:eastAsia="Times New Roman" w:hAnsi="Arial" w:cs="Arial"/>
                <w:color w:val="666666"/>
                <w:sz w:val="20"/>
                <w:szCs w:val="20"/>
              </w:rPr>
              <w:t xml:space="preserve"> of América</w:t>
            </w:r>
          </w:p>
          <w:p w:rsidR="009B1798" w:rsidRDefault="009B1798" w:rsidP="00B2233E">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La controversia se suscita en que la AFIP impugna las compensaciones de impuestos internos con saldos a favor de otros tributos, entendiendo que el único medio válido de extinción de la obligación tributaria de aquellos es el depósito en la cuenta especial del Banco de la Nación Argentina, de acuerdo a lo establecido por el texto legal de los citados gravámenes. </w:t>
            </w:r>
            <w:r>
              <w:rPr>
                <w:rFonts w:ascii="Arial" w:eastAsia="Times New Roman" w:hAnsi="Arial" w:cs="Arial"/>
                <w:color w:val="666666"/>
                <w:sz w:val="20"/>
                <w:szCs w:val="20"/>
              </w:rPr>
              <w:br/>
              <w:t>La Procuración, avalando el criterio sostenido por la AFIP, interpreta que, al existir un precepto específico en la ley de internos -pertinente a los bienes que comercializa la empresa- de cómo debe ingresarse el impuesto adeudado (art. 57, L. 3764), no resulta aplicable al caso el instituto de la compensación que permite la ley de procedimiento fiscal (L. 11683), sin existir colisión entre ambas normas</w:t>
            </w:r>
          </w:p>
          <w:p w:rsidR="00B2233E" w:rsidRPr="00B2233E" w:rsidRDefault="009B1798" w:rsidP="00B2233E">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Se aclara que este dictamen es solo una opinión de la procuradora fiscal, por lo que habrá que aguardar a que la Corte se expida sobre la cuestión de fondo</w:t>
            </w:r>
            <w:r w:rsidR="00B2233E">
              <w:rPr>
                <w:rFonts w:ascii="Arial" w:eastAsia="Times New Roman" w:hAnsi="Arial" w:cs="Arial"/>
                <w:color w:val="666666"/>
                <w:sz w:val="20"/>
                <w:szCs w:val="20"/>
              </w:rPr>
              <w:t>.</w:t>
            </w:r>
          </w:p>
          <w:p w:rsidR="00B2233E" w:rsidRDefault="00B2233E" w:rsidP="00B2233E">
            <w:pPr>
              <w:pStyle w:val="NormalWeb"/>
              <w:spacing w:before="0" w:beforeAutospacing="0" w:after="0" w:afterAutospacing="0"/>
              <w:jc w:val="both"/>
              <w:rPr>
                <w:rFonts w:ascii="Arial" w:hAnsi="Arial" w:cs="Arial"/>
                <w:b/>
                <w:bCs/>
                <w:caps/>
                <w:color w:val="002F5D"/>
                <w:sz w:val="21"/>
                <w:szCs w:val="21"/>
              </w:rPr>
            </w:pPr>
          </w:p>
          <w:p w:rsidR="009B1798" w:rsidRPr="009B1798" w:rsidRDefault="009B1798" w:rsidP="009B1798">
            <w:pPr>
              <w:pStyle w:val="NormalWeb"/>
              <w:spacing w:before="0" w:beforeAutospacing="0" w:after="0" w:afterAutospacing="0"/>
              <w:jc w:val="both"/>
              <w:rPr>
                <w:rFonts w:ascii="Arial" w:hAnsi="Arial" w:cs="Arial"/>
                <w:b/>
                <w:bCs/>
                <w:caps/>
                <w:color w:val="002F5D"/>
                <w:sz w:val="21"/>
                <w:szCs w:val="21"/>
              </w:rPr>
            </w:pPr>
            <w:r w:rsidRPr="009B1798">
              <w:rPr>
                <w:rFonts w:ascii="Arial" w:hAnsi="Arial" w:cs="Arial"/>
                <w:b/>
                <w:bCs/>
                <w:caps/>
                <w:color w:val="002F5D"/>
                <w:sz w:val="21"/>
                <w:szCs w:val="21"/>
              </w:rPr>
              <w:t>Regímenes Especiales. Deuda pública. Letras del Tesoro en dólares estadounidenses con vencimiento 28/2/2020 - RESOLUCIÓN CONJUNTA (Sec. Hacienda - Sec. Finanzas) 52/2019</w:t>
            </w:r>
          </w:p>
          <w:p w:rsidR="00B2233E" w:rsidRDefault="00B2233E" w:rsidP="00B2233E">
            <w:pPr>
              <w:pStyle w:val="NormalWeb"/>
              <w:spacing w:before="0" w:beforeAutospacing="0" w:after="0" w:afterAutospacing="0"/>
              <w:jc w:val="both"/>
              <w:rPr>
                <w:rFonts w:ascii="Arial" w:hAnsi="Arial" w:cs="Arial"/>
                <w:b/>
                <w:bCs/>
                <w:caps/>
                <w:color w:val="002F5D"/>
                <w:sz w:val="21"/>
                <w:szCs w:val="21"/>
              </w:rPr>
            </w:pPr>
          </w:p>
          <w:p w:rsidR="009B1798" w:rsidRDefault="009B1798" w:rsidP="00B2233E">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Las “Letras del Tesoro en dólares estadounidenses con vencimiento 28/2/2020”, emitidas conforme a la presente disposición, gozan de todas las exenciones impositivas dispuestas por las leyes y reglamentaciones en la materia.</w:t>
            </w:r>
          </w:p>
          <w:p w:rsidR="00B2233E" w:rsidRPr="00B2233E" w:rsidRDefault="009B1798" w:rsidP="00B2233E">
            <w:pPr>
              <w:pStyle w:val="NormalWeb"/>
              <w:spacing w:before="0" w:beforeAutospacing="0" w:after="0" w:afterAutospacing="0" w:line="360" w:lineRule="auto"/>
              <w:jc w:val="both"/>
              <w:rPr>
                <w:rFonts w:ascii="Arial" w:eastAsia="Times New Roman" w:hAnsi="Arial" w:cs="Arial"/>
                <w:b/>
                <w:bCs/>
                <w:color w:val="666666"/>
                <w:sz w:val="18"/>
                <w:szCs w:val="20"/>
              </w:rPr>
            </w:pPr>
            <w:r>
              <w:rPr>
                <w:rFonts w:ascii="Arial" w:eastAsia="Times New Roman" w:hAnsi="Arial" w:cs="Arial"/>
                <w:color w:val="666666"/>
                <w:sz w:val="20"/>
                <w:szCs w:val="20"/>
              </w:rPr>
              <w:t>Recordamos que la ley de reforma tributaria -L. 27430-, al incorporar el artículo 90.1 (impuesto cedular) en la ley del impuesto a las ganancias, grava con dicho impuesto la generación de renta financiera para las personas humanas</w:t>
            </w:r>
            <w:r w:rsidR="00B2233E">
              <w:rPr>
                <w:rFonts w:ascii="Arial" w:hAnsi="Arial" w:cs="Arial"/>
                <w:color w:val="222222"/>
                <w:shd w:val="clear" w:color="auto" w:fill="FFFFFF"/>
              </w:rPr>
              <w:t>.</w:t>
            </w:r>
          </w:p>
          <w:p w:rsidR="00B2233E" w:rsidRDefault="00B2233E" w:rsidP="00B2233E">
            <w:pPr>
              <w:pStyle w:val="NormalWeb"/>
              <w:spacing w:before="0" w:beforeAutospacing="0" w:after="0" w:afterAutospacing="0"/>
              <w:jc w:val="both"/>
              <w:rPr>
                <w:rFonts w:ascii="Arial" w:hAnsi="Arial" w:cs="Arial"/>
                <w:b/>
                <w:bCs/>
                <w:caps/>
                <w:color w:val="002F5D"/>
                <w:sz w:val="21"/>
                <w:szCs w:val="21"/>
              </w:rPr>
            </w:pPr>
          </w:p>
          <w:p w:rsidR="00B2233E" w:rsidRPr="00B2233E" w:rsidRDefault="00B2233E" w:rsidP="00B2233E">
            <w:pPr>
              <w:pStyle w:val="NormalWeb"/>
              <w:spacing w:before="0" w:beforeAutospacing="0" w:after="0" w:afterAutospacing="0" w:line="360" w:lineRule="auto"/>
              <w:jc w:val="both"/>
              <w:rPr>
                <w:rFonts w:ascii="Arial" w:eastAsia="Times New Roman" w:hAnsi="Arial" w:cs="Arial"/>
                <w:color w:val="666666"/>
                <w:sz w:val="20"/>
                <w:szCs w:val="20"/>
              </w:rPr>
            </w:pPr>
          </w:p>
          <w:p w:rsidR="0081031F" w:rsidRPr="0081031F" w:rsidRDefault="0081031F" w:rsidP="0081031F">
            <w:pPr>
              <w:pStyle w:val="NormalWeb"/>
              <w:spacing w:before="0" w:beforeAutospacing="0" w:after="0" w:afterAutospacing="0"/>
              <w:jc w:val="center"/>
              <w:rPr>
                <w:rFonts w:ascii="Arial" w:hAnsi="Arial" w:cs="Arial"/>
                <w:b/>
                <w:bCs/>
                <w:caps/>
                <w:color w:val="7E4F6F"/>
              </w:rPr>
            </w:pPr>
            <w:r w:rsidRPr="0081031F">
              <w:rPr>
                <w:rFonts w:ascii="Arial" w:hAnsi="Arial" w:cs="Arial"/>
                <w:b/>
                <w:bCs/>
                <w:caps/>
                <w:color w:val="7E4F6F"/>
              </w:rPr>
              <w:t>LABORALES - PREVISIONALES</w:t>
            </w:r>
          </w:p>
          <w:p w:rsidR="0081031F" w:rsidRDefault="0081031F" w:rsidP="00F500D0">
            <w:pPr>
              <w:pStyle w:val="NormalWeb"/>
              <w:spacing w:before="0" w:beforeAutospacing="0" w:after="0" w:afterAutospacing="0"/>
              <w:jc w:val="both"/>
              <w:rPr>
                <w:rFonts w:ascii="Arial" w:hAnsi="Arial" w:cs="Arial"/>
                <w:b/>
                <w:bCs/>
                <w:caps/>
                <w:color w:val="7F870A"/>
                <w:sz w:val="18"/>
                <w:szCs w:val="18"/>
              </w:rPr>
            </w:pPr>
          </w:p>
          <w:p w:rsidR="009B1798" w:rsidRDefault="009B1798" w:rsidP="009B1798">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ANSES INCORPORÓ LA BILLETERA DIGITAL</w:t>
            </w:r>
          </w:p>
          <w:p w:rsidR="009B1798" w:rsidRDefault="009B1798" w:rsidP="009B1798">
            <w:pPr>
              <w:pStyle w:val="NormalWeb"/>
              <w:spacing w:before="0" w:beforeAutospacing="0" w:after="0" w:afterAutospacing="0"/>
              <w:jc w:val="both"/>
              <w:rPr>
                <w:rFonts w:ascii="Arial" w:hAnsi="Arial" w:cs="Arial"/>
                <w:b/>
                <w:bCs/>
                <w:caps/>
                <w:color w:val="7E4F6F"/>
                <w:sz w:val="21"/>
                <w:szCs w:val="21"/>
              </w:rPr>
            </w:pPr>
          </w:p>
          <w:p w:rsidR="009B1798" w:rsidRDefault="009B1798" w:rsidP="009B1798">
            <w:pPr>
              <w:pStyle w:val="NormalWeb"/>
              <w:spacing w:before="0" w:beforeAutospacing="0" w:after="0" w:afterAutospacing="0" w:line="360" w:lineRule="auto"/>
              <w:jc w:val="both"/>
              <w:rPr>
                <w:rFonts w:ascii="Arial" w:eastAsia="Times New Roman" w:hAnsi="Arial" w:cs="Arial"/>
                <w:b/>
                <w:bCs/>
                <w:color w:val="666666"/>
                <w:sz w:val="18"/>
                <w:szCs w:val="20"/>
              </w:rPr>
            </w:pPr>
            <w:r w:rsidRPr="009B1798">
              <w:rPr>
                <w:rFonts w:ascii="Arial" w:eastAsia="Times New Roman" w:hAnsi="Arial" w:cs="Arial"/>
                <w:b/>
                <w:bCs/>
                <w:color w:val="666666"/>
                <w:sz w:val="18"/>
                <w:szCs w:val="20"/>
              </w:rPr>
              <w:t xml:space="preserve">La </w:t>
            </w:r>
            <w:proofErr w:type="spellStart"/>
            <w:r w:rsidRPr="009B1798">
              <w:rPr>
                <w:rFonts w:ascii="Arial" w:eastAsia="Times New Roman" w:hAnsi="Arial" w:cs="Arial"/>
                <w:b/>
                <w:bCs/>
                <w:color w:val="666666"/>
                <w:sz w:val="18"/>
                <w:szCs w:val="20"/>
              </w:rPr>
              <w:t>ANSeS</w:t>
            </w:r>
            <w:proofErr w:type="spellEnd"/>
            <w:r w:rsidRPr="009B1798">
              <w:rPr>
                <w:rFonts w:ascii="Arial" w:eastAsia="Times New Roman" w:hAnsi="Arial" w:cs="Arial"/>
                <w:b/>
                <w:bCs/>
                <w:color w:val="666666"/>
                <w:sz w:val="18"/>
                <w:szCs w:val="20"/>
              </w:rPr>
              <w:t xml:space="preserve"> informa la implementación de la billetera electrónica como forma de pago para las prestaciones de la Seguridad Social.</w:t>
            </w:r>
          </w:p>
          <w:p w:rsidR="009B1798" w:rsidRDefault="009B1798" w:rsidP="009B1798">
            <w:pPr>
              <w:pStyle w:val="NormalWeb"/>
              <w:spacing w:before="0" w:beforeAutospacing="0" w:after="0" w:afterAutospacing="0" w:line="360" w:lineRule="auto"/>
              <w:jc w:val="both"/>
              <w:rPr>
                <w:rFonts w:ascii="Arial" w:eastAsia="Times New Roman" w:hAnsi="Arial" w:cs="Arial"/>
                <w:b/>
                <w:bCs/>
                <w:color w:val="666666"/>
                <w:sz w:val="18"/>
                <w:szCs w:val="20"/>
              </w:rPr>
            </w:pPr>
            <w:r w:rsidRPr="009B1798">
              <w:rPr>
                <w:rFonts w:ascii="Arial" w:eastAsia="Times New Roman" w:hAnsi="Arial" w:cs="Arial"/>
                <w:b/>
                <w:bCs/>
                <w:color w:val="666666"/>
                <w:sz w:val="18"/>
                <w:szCs w:val="20"/>
              </w:rPr>
              <w:t>A tal fin, los beneficiarios que opten por cobrar sus haberes a través de este medio dispondrán de una Clave Virtual Uniforme (CVU).</w:t>
            </w:r>
          </w:p>
          <w:p w:rsidR="009B1798" w:rsidRPr="009B1798" w:rsidRDefault="009B1798" w:rsidP="009B1798">
            <w:pPr>
              <w:pStyle w:val="NormalWeb"/>
              <w:spacing w:before="0" w:beforeAutospacing="0" w:after="0" w:afterAutospacing="0" w:line="360" w:lineRule="auto"/>
              <w:jc w:val="both"/>
              <w:rPr>
                <w:rFonts w:ascii="Arial" w:eastAsia="Times New Roman" w:hAnsi="Arial" w:cs="Arial"/>
                <w:b/>
                <w:bCs/>
                <w:color w:val="666666"/>
                <w:sz w:val="18"/>
                <w:szCs w:val="20"/>
              </w:rPr>
            </w:pPr>
            <w:r w:rsidRPr="009B1798">
              <w:rPr>
                <w:rFonts w:ascii="Arial" w:eastAsia="Times New Roman" w:hAnsi="Arial" w:cs="Arial"/>
                <w:b/>
                <w:bCs/>
                <w:color w:val="666666"/>
                <w:sz w:val="18"/>
                <w:szCs w:val="20"/>
              </w:rPr>
              <w:lastRenderedPageBreak/>
              <w:t xml:space="preserve">El trámite puede realizarse en el sitio web del Organismo, </w:t>
            </w:r>
            <w:hyperlink r:id="rId8" w:history="1">
              <w:r w:rsidRPr="009B1798">
                <w:rPr>
                  <w:b/>
                  <w:bCs/>
                  <w:color w:val="666666"/>
                  <w:sz w:val="18"/>
                </w:rPr>
                <w:t>www.anses.gob.ar</w:t>
              </w:r>
            </w:hyperlink>
            <w:r w:rsidRPr="009B1798">
              <w:rPr>
                <w:rFonts w:ascii="Arial" w:eastAsia="Times New Roman" w:hAnsi="Arial" w:cs="Arial"/>
                <w:b/>
                <w:bCs/>
                <w:color w:val="666666"/>
                <w:sz w:val="18"/>
                <w:szCs w:val="20"/>
              </w:rPr>
              <w:t xml:space="preserve">, ingresando a MI ANSES con su Clave de la Seguridad Social, sección Cobros; por teléfono llamando al 130 o personalmente en cualquier oficina de la </w:t>
            </w:r>
            <w:proofErr w:type="spellStart"/>
            <w:r w:rsidRPr="009B1798">
              <w:rPr>
                <w:rFonts w:ascii="Arial" w:eastAsia="Times New Roman" w:hAnsi="Arial" w:cs="Arial"/>
                <w:b/>
                <w:bCs/>
                <w:color w:val="666666"/>
                <w:sz w:val="18"/>
                <w:szCs w:val="20"/>
              </w:rPr>
              <w:t>ANSeS</w:t>
            </w:r>
            <w:proofErr w:type="spellEnd"/>
          </w:p>
          <w:p w:rsidR="00B2233E" w:rsidRDefault="00B2233E" w:rsidP="00B2233E">
            <w:pPr>
              <w:pStyle w:val="NormalWeb"/>
              <w:spacing w:before="0" w:beforeAutospacing="0" w:after="0" w:afterAutospacing="0" w:line="360" w:lineRule="auto"/>
              <w:jc w:val="both"/>
              <w:rPr>
                <w:rFonts w:ascii="Arial" w:eastAsia="Times New Roman" w:hAnsi="Arial" w:cs="Arial"/>
                <w:b/>
                <w:bCs/>
                <w:color w:val="666666"/>
                <w:sz w:val="18"/>
                <w:szCs w:val="20"/>
              </w:rPr>
            </w:pPr>
          </w:p>
          <w:p w:rsidR="00B2233E" w:rsidRPr="00736B72" w:rsidRDefault="00B2233E" w:rsidP="00B2233E">
            <w:pPr>
              <w:pStyle w:val="NormalWeb"/>
              <w:spacing w:before="0" w:beforeAutospacing="0" w:after="0" w:afterAutospacing="0" w:line="360" w:lineRule="auto"/>
              <w:jc w:val="both"/>
              <w:rPr>
                <w:rFonts w:ascii="Arial" w:hAnsi="Arial" w:cs="Arial"/>
                <w:b/>
                <w:bCs/>
                <w:caps/>
                <w:color w:val="7E4F6F"/>
              </w:rPr>
            </w:pPr>
            <w:r w:rsidRPr="00736B72">
              <w:rPr>
                <w:rFonts w:ascii="Arial" w:hAnsi="Arial" w:cs="Arial"/>
                <w:b/>
                <w:bCs/>
                <w:caps/>
                <w:color w:val="7E4F6F"/>
                <w:sz w:val="22"/>
                <w:szCs w:val="22"/>
              </w:rPr>
              <w:t>Personal de casas particulares</w:t>
            </w:r>
          </w:p>
          <w:p w:rsidR="009B1798" w:rsidRPr="009B1798" w:rsidRDefault="009B1798" w:rsidP="009B1798">
            <w:pPr>
              <w:pStyle w:val="Ttulo1"/>
              <w:shd w:val="clear" w:color="auto" w:fill="FDE9D9" w:themeFill="accent6" w:themeFillTint="33"/>
              <w:spacing w:before="0" w:line="720" w:lineRule="atLeast"/>
              <w:rPr>
                <w:rFonts w:ascii="Arial" w:eastAsiaTheme="minorHAnsi" w:hAnsi="Arial" w:cs="Arial"/>
                <w:caps/>
                <w:color w:val="7E4F6F"/>
                <w:sz w:val="22"/>
                <w:szCs w:val="22"/>
              </w:rPr>
            </w:pPr>
            <w:r w:rsidRPr="009B1798">
              <w:rPr>
                <w:rFonts w:ascii="Arial" w:eastAsiaTheme="minorHAnsi" w:hAnsi="Arial" w:cs="Arial"/>
                <w:caps/>
                <w:color w:val="7E4F6F"/>
                <w:sz w:val="22"/>
                <w:szCs w:val="22"/>
              </w:rPr>
              <w:t>Resolución 3/2019 CNTCP: Res. 2/2019. Se Rectifica Escala Salarial</w:t>
            </w:r>
          </w:p>
          <w:p w:rsidR="009B1798" w:rsidRDefault="009B1798" w:rsidP="009B1798"/>
          <w:p w:rsidR="009B1798" w:rsidRDefault="009B1798" w:rsidP="009B1798">
            <w:pPr>
              <w:pStyle w:val="NormalWeb"/>
              <w:spacing w:before="0" w:beforeAutospacing="0" w:after="0" w:afterAutospacing="0" w:line="360" w:lineRule="auto"/>
              <w:jc w:val="both"/>
              <w:rPr>
                <w:rFonts w:ascii="Arial" w:eastAsia="Times New Roman" w:hAnsi="Arial" w:cs="Arial"/>
                <w:b/>
                <w:bCs/>
                <w:color w:val="666666"/>
                <w:sz w:val="18"/>
                <w:szCs w:val="20"/>
              </w:rPr>
            </w:pPr>
            <w:r>
              <w:rPr>
                <w:rFonts w:ascii="Arial" w:eastAsia="Times New Roman" w:hAnsi="Arial" w:cs="Arial"/>
                <w:b/>
                <w:bCs/>
                <w:color w:val="666666"/>
                <w:sz w:val="18"/>
                <w:szCs w:val="20"/>
              </w:rPr>
              <w:t>L</w:t>
            </w:r>
            <w:r w:rsidRPr="009B1798">
              <w:rPr>
                <w:rFonts w:ascii="Arial" w:eastAsia="Times New Roman" w:hAnsi="Arial" w:cs="Arial"/>
                <w:b/>
                <w:bCs/>
                <w:color w:val="666666"/>
                <w:sz w:val="18"/>
                <w:szCs w:val="20"/>
              </w:rPr>
              <w:t>a Resolución de la COMISIÓN NACIONAL DE TRABAJO EN CASAS PARTICULARES N° 2 de fecha 3 de julio de 2019, fijó el incremento de las remuneraciones horarias y mensuales mínimas para el Personal comprendido en el Régimen establecido por la</w:t>
            </w:r>
            <w:r>
              <w:rPr>
                <w:rFonts w:ascii="Arial" w:eastAsia="Times New Roman" w:hAnsi="Arial" w:cs="Arial"/>
                <w:b/>
                <w:bCs/>
                <w:color w:val="666666"/>
                <w:sz w:val="18"/>
                <w:szCs w:val="20"/>
              </w:rPr>
              <w:t xml:space="preserve"> </w:t>
            </w:r>
            <w:hyperlink r:id="rId9" w:tgtFrame="_blank" w:history="1">
              <w:r w:rsidRPr="009B1798">
                <w:rPr>
                  <w:rFonts w:ascii="Arial" w:eastAsia="Times New Roman" w:hAnsi="Arial" w:cs="Arial"/>
                  <w:b/>
                  <w:bCs/>
                  <w:color w:val="666666"/>
                  <w:sz w:val="18"/>
                  <w:szCs w:val="20"/>
                </w:rPr>
                <w:t>Ley N° 26.844</w:t>
              </w:r>
            </w:hyperlink>
            <w:r w:rsidRPr="009B1798">
              <w:rPr>
                <w:rFonts w:ascii="Arial" w:eastAsia="Times New Roman" w:hAnsi="Arial" w:cs="Arial"/>
                <w:b/>
                <w:bCs/>
                <w:color w:val="666666"/>
                <w:sz w:val="18"/>
                <w:szCs w:val="20"/>
              </w:rPr>
              <w:t xml:space="preserve"> conforme las escalas salariales que lucen como Anexos I, II y III de la misma aplicable a partir del 1° de junio de 2019. </w:t>
            </w:r>
          </w:p>
          <w:p w:rsidR="009B1798" w:rsidRPr="009B1798" w:rsidRDefault="009B1798" w:rsidP="009B1798">
            <w:pPr>
              <w:pStyle w:val="NormalWeb"/>
              <w:spacing w:before="0" w:beforeAutospacing="0" w:after="0" w:afterAutospacing="0" w:line="360" w:lineRule="auto"/>
              <w:jc w:val="both"/>
              <w:rPr>
                <w:rFonts w:ascii="Arial" w:eastAsia="Times New Roman" w:hAnsi="Arial" w:cs="Arial"/>
                <w:b/>
                <w:bCs/>
                <w:color w:val="666666"/>
                <w:sz w:val="18"/>
                <w:szCs w:val="20"/>
              </w:rPr>
            </w:pPr>
            <w:r w:rsidRPr="009B1798">
              <w:rPr>
                <w:rFonts w:ascii="Arial" w:eastAsia="Times New Roman" w:hAnsi="Arial" w:cs="Arial"/>
                <w:b/>
                <w:bCs/>
                <w:color w:val="666666"/>
                <w:sz w:val="18"/>
                <w:szCs w:val="20"/>
              </w:rPr>
              <w:t>Por un error material involuntario, se consignaron en forma incorrecta valores de las remuneraciones horarias y mensuales</w:t>
            </w:r>
            <w:r>
              <w:rPr>
                <w:rFonts w:ascii="Arial" w:eastAsia="Times New Roman" w:hAnsi="Arial" w:cs="Arial"/>
                <w:b/>
                <w:bCs/>
                <w:color w:val="666666"/>
                <w:sz w:val="18"/>
                <w:szCs w:val="20"/>
              </w:rPr>
              <w:t xml:space="preserve"> el cual viene a ser subsanado por la presente resolución.</w:t>
            </w:r>
          </w:p>
          <w:p w:rsidR="00B2233E" w:rsidRDefault="00B2233E" w:rsidP="009B1798">
            <w:pPr>
              <w:pStyle w:val="NormalWeb"/>
              <w:spacing w:before="0" w:beforeAutospacing="0" w:after="0" w:afterAutospacing="0" w:line="360" w:lineRule="auto"/>
              <w:jc w:val="both"/>
              <w:rPr>
                <w:rFonts w:ascii="Arial" w:eastAsia="Times New Roman" w:hAnsi="Arial" w:cs="Arial"/>
                <w:b/>
                <w:bCs/>
                <w:color w:val="666666"/>
                <w:sz w:val="18"/>
                <w:szCs w:val="20"/>
              </w:rPr>
            </w:pPr>
          </w:p>
          <w:p w:rsidR="007872C0" w:rsidRDefault="007872C0" w:rsidP="00736B72">
            <w:pPr>
              <w:pStyle w:val="NormalWeb"/>
              <w:spacing w:before="0" w:beforeAutospacing="0" w:after="0" w:afterAutospacing="0"/>
              <w:jc w:val="both"/>
              <w:rPr>
                <w:rFonts w:ascii="Arial" w:eastAsia="Times New Roman" w:hAnsi="Arial" w:cs="Arial"/>
                <w:color w:val="666666"/>
                <w:sz w:val="20"/>
                <w:szCs w:val="20"/>
              </w:rPr>
            </w:pPr>
          </w:p>
        </w:tc>
      </w:tr>
      <w:tr w:rsidR="00FD6DB7" w:rsidTr="008D2886">
        <w:trPr>
          <w:trHeight w:val="2404"/>
          <w:tblCellSpacing w:w="37" w:type="dxa"/>
        </w:trPr>
        <w:tc>
          <w:tcPr>
            <w:tcW w:w="4916" w:type="pct"/>
            <w:hideMark/>
          </w:tcPr>
          <w:p w:rsidR="00FD6DB7" w:rsidRPr="00001565" w:rsidRDefault="00FD6DB7" w:rsidP="00001565">
            <w:pPr>
              <w:pStyle w:val="NormalWeb"/>
              <w:spacing w:before="0" w:beforeAutospacing="0" w:after="0" w:afterAutospacing="0"/>
              <w:jc w:val="center"/>
              <w:rPr>
                <w:rFonts w:ascii="Arial" w:hAnsi="Arial" w:cs="Arial"/>
                <w:b/>
                <w:bCs/>
                <w:color w:val="7E4F6F"/>
              </w:rPr>
            </w:pPr>
          </w:p>
        </w:tc>
      </w:tr>
      <w:tr w:rsidR="00BD76AD" w:rsidTr="008D2886">
        <w:trPr>
          <w:trHeight w:val="2404"/>
          <w:tblCellSpacing w:w="37" w:type="dxa"/>
        </w:trPr>
        <w:tc>
          <w:tcPr>
            <w:tcW w:w="4916" w:type="pct"/>
          </w:tcPr>
          <w:p w:rsidR="00BD76AD" w:rsidRDefault="00BD76AD" w:rsidP="00001565">
            <w:pPr>
              <w:pStyle w:val="NormalWeb"/>
              <w:spacing w:before="0" w:beforeAutospacing="0" w:after="0" w:afterAutospacing="0"/>
              <w:jc w:val="center"/>
              <w:rPr>
                <w:rFonts w:ascii="Arial" w:hAnsi="Arial" w:cs="Arial"/>
                <w:b/>
                <w:bCs/>
                <w:color w:val="7E4F6F"/>
              </w:rPr>
            </w:pPr>
          </w:p>
          <w:p w:rsidR="007872C0" w:rsidRPr="00001565" w:rsidRDefault="007872C0" w:rsidP="00001565">
            <w:pPr>
              <w:pStyle w:val="NormalWeb"/>
              <w:spacing w:before="0" w:beforeAutospacing="0" w:after="0" w:afterAutospacing="0"/>
              <w:jc w:val="center"/>
              <w:rPr>
                <w:rFonts w:ascii="Arial" w:hAnsi="Arial" w:cs="Arial"/>
                <w:b/>
                <w:bCs/>
                <w:color w:val="7E4F6F"/>
              </w:rPr>
            </w:pPr>
          </w:p>
        </w:tc>
      </w:tr>
      <w:tr w:rsidR="00BD76AD" w:rsidTr="008D2886">
        <w:trPr>
          <w:trHeight w:val="2404"/>
          <w:tblCellSpacing w:w="37" w:type="dxa"/>
        </w:trPr>
        <w:tc>
          <w:tcPr>
            <w:tcW w:w="4916" w:type="pct"/>
          </w:tcPr>
          <w:p w:rsidR="00BD76AD" w:rsidRPr="00001565" w:rsidRDefault="00BD76AD" w:rsidP="00001565">
            <w:pPr>
              <w:pStyle w:val="NormalWeb"/>
              <w:spacing w:before="0" w:beforeAutospacing="0" w:after="0" w:afterAutospacing="0"/>
              <w:jc w:val="center"/>
              <w:rPr>
                <w:rFonts w:ascii="Arial" w:hAnsi="Arial" w:cs="Arial"/>
                <w:b/>
                <w:bCs/>
                <w:color w:val="7E4F6F"/>
              </w:rPr>
            </w:pPr>
          </w:p>
        </w:tc>
      </w:tr>
    </w:tbl>
    <w:p w:rsidR="009454BF" w:rsidRDefault="009454BF" w:rsidP="00BD76AD">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17"/>
          <w:szCs w:val="17"/>
        </w:rPr>
      </w:pPr>
    </w:p>
    <w:sectPr w:rsidR="009454BF" w:rsidSect="002A1585">
      <w:headerReference w:type="default" r:id="rId10"/>
      <w:footerReference w:type="default" r:id="rId11"/>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6AD" w:rsidRDefault="00BD76AD" w:rsidP="00A22916">
      <w:r>
        <w:separator/>
      </w:r>
    </w:p>
  </w:endnote>
  <w:endnote w:type="continuationSeparator" w:id="0">
    <w:p w:rsidR="00BD76AD" w:rsidRDefault="00BD76AD"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AD" w:rsidRDefault="00BD76AD"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9B1798" w:rsidRPr="009B1798">
        <w:rPr>
          <w:rFonts w:asciiTheme="majorHAnsi" w:hAnsiTheme="majorHAnsi"/>
          <w:noProof/>
        </w:rPr>
        <w:t>1</w:t>
      </w:r>
    </w:fldSimple>
  </w:p>
  <w:p w:rsidR="00BD76AD" w:rsidRDefault="00BD76AD" w:rsidP="0063669F">
    <w:pPr>
      <w:pStyle w:val="Piedepgina"/>
    </w:pPr>
  </w:p>
  <w:p w:rsidR="00BD76AD" w:rsidRDefault="00BD76AD" w:rsidP="0063669F">
    <w:pPr>
      <w:pStyle w:val="Piedepgina"/>
    </w:pPr>
  </w:p>
  <w:p w:rsidR="00BD76AD" w:rsidRDefault="00BD76AD"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6AD" w:rsidRDefault="00BD76AD" w:rsidP="00A22916">
      <w:r>
        <w:separator/>
      </w:r>
    </w:p>
  </w:footnote>
  <w:footnote w:type="continuationSeparator" w:id="0">
    <w:p w:rsidR="00BD76AD" w:rsidRDefault="00BD76AD"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AD" w:rsidRDefault="00BD76AD" w:rsidP="0063669F">
    <w:pPr>
      <w:pStyle w:val="Ttulo"/>
      <w:tabs>
        <w:tab w:val="center" w:pos="4252"/>
      </w:tabs>
      <w:rPr>
        <w:b/>
        <w:sz w:val="40"/>
        <w:szCs w:val="40"/>
      </w:rPr>
    </w:pPr>
    <w:r>
      <w:rPr>
        <w:noProof/>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 xml:space="preserve">NEWSLETTER Nº </w:t>
    </w:r>
    <w:r w:rsidR="009B1798">
      <w:rPr>
        <w:b/>
        <w:sz w:val="40"/>
        <w:szCs w:val="40"/>
      </w:rPr>
      <w:t>30</w:t>
    </w:r>
    <w:r>
      <w:rPr>
        <w:b/>
        <w:sz w:val="40"/>
        <w:szCs w:val="40"/>
      </w:rPr>
      <w:t>-19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2">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9">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1"/>
  </w:num>
  <w:num w:numId="7">
    <w:abstractNumId w:val="19"/>
  </w:num>
  <w:num w:numId="8">
    <w:abstractNumId w:val="18"/>
  </w:num>
  <w:num w:numId="9">
    <w:abstractNumId w:val="11"/>
  </w:num>
  <w:num w:numId="10">
    <w:abstractNumId w:val="16"/>
  </w:num>
  <w:num w:numId="11">
    <w:abstractNumId w:val="10"/>
  </w:num>
  <w:num w:numId="12">
    <w:abstractNumId w:val="12"/>
  </w:num>
  <w:num w:numId="13">
    <w:abstractNumId w:val="13"/>
  </w:num>
  <w:num w:numId="14">
    <w:abstractNumId w:val="5"/>
  </w:num>
  <w:num w:numId="15">
    <w:abstractNumId w:val="7"/>
  </w:num>
  <w:num w:numId="16">
    <w:abstractNumId w:val="3"/>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4"/>
  </w:num>
  <w:num w:numId="20">
    <w:abstractNumId w:val="2"/>
  </w:num>
  <w:num w:numId="21">
    <w:abstractNumId w:val="4"/>
  </w:num>
  <w:num w:numId="22">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6B7B"/>
    <w:rsid w:val="00010986"/>
    <w:rsid w:val="00011E32"/>
    <w:rsid w:val="000141BB"/>
    <w:rsid w:val="0001798D"/>
    <w:rsid w:val="00020720"/>
    <w:rsid w:val="00024857"/>
    <w:rsid w:val="00024BA0"/>
    <w:rsid w:val="0002757E"/>
    <w:rsid w:val="00027808"/>
    <w:rsid w:val="00027FB3"/>
    <w:rsid w:val="000312D1"/>
    <w:rsid w:val="00034B4E"/>
    <w:rsid w:val="000365F4"/>
    <w:rsid w:val="000458FF"/>
    <w:rsid w:val="000460B9"/>
    <w:rsid w:val="00046CEE"/>
    <w:rsid w:val="000500BF"/>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6651"/>
    <w:rsid w:val="00086A6F"/>
    <w:rsid w:val="00087F32"/>
    <w:rsid w:val="00087F90"/>
    <w:rsid w:val="000902D4"/>
    <w:rsid w:val="000938D2"/>
    <w:rsid w:val="000A444A"/>
    <w:rsid w:val="000A498D"/>
    <w:rsid w:val="000B1065"/>
    <w:rsid w:val="000B25E4"/>
    <w:rsid w:val="000C4B1E"/>
    <w:rsid w:val="000C4F4D"/>
    <w:rsid w:val="000C519C"/>
    <w:rsid w:val="000C584E"/>
    <w:rsid w:val="000C7AD0"/>
    <w:rsid w:val="000C7BA3"/>
    <w:rsid w:val="000D39D2"/>
    <w:rsid w:val="000D70E0"/>
    <w:rsid w:val="000D70E8"/>
    <w:rsid w:val="000D7327"/>
    <w:rsid w:val="000E0356"/>
    <w:rsid w:val="000E4D44"/>
    <w:rsid w:val="000E5944"/>
    <w:rsid w:val="000E66E0"/>
    <w:rsid w:val="000E7201"/>
    <w:rsid w:val="000F400D"/>
    <w:rsid w:val="000F62E1"/>
    <w:rsid w:val="000F64B0"/>
    <w:rsid w:val="000F6D2A"/>
    <w:rsid w:val="00105129"/>
    <w:rsid w:val="00105285"/>
    <w:rsid w:val="00106118"/>
    <w:rsid w:val="00106BEE"/>
    <w:rsid w:val="00107640"/>
    <w:rsid w:val="0011767B"/>
    <w:rsid w:val="00122901"/>
    <w:rsid w:val="0012658E"/>
    <w:rsid w:val="00126ACA"/>
    <w:rsid w:val="00134995"/>
    <w:rsid w:val="00135AA0"/>
    <w:rsid w:val="00135BCF"/>
    <w:rsid w:val="00136B14"/>
    <w:rsid w:val="00141498"/>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5BB4"/>
    <w:rsid w:val="0019731C"/>
    <w:rsid w:val="001A31B7"/>
    <w:rsid w:val="001A4644"/>
    <w:rsid w:val="001A5BCA"/>
    <w:rsid w:val="001B127D"/>
    <w:rsid w:val="001B1392"/>
    <w:rsid w:val="001B1C4E"/>
    <w:rsid w:val="001B393D"/>
    <w:rsid w:val="001B4815"/>
    <w:rsid w:val="001B4C1D"/>
    <w:rsid w:val="001B5A3B"/>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41AE"/>
    <w:rsid w:val="00227B89"/>
    <w:rsid w:val="002312B9"/>
    <w:rsid w:val="00232F64"/>
    <w:rsid w:val="00233626"/>
    <w:rsid w:val="00233E5D"/>
    <w:rsid w:val="00234178"/>
    <w:rsid w:val="002350C4"/>
    <w:rsid w:val="00236C10"/>
    <w:rsid w:val="00242334"/>
    <w:rsid w:val="00245419"/>
    <w:rsid w:val="002462C5"/>
    <w:rsid w:val="002514CE"/>
    <w:rsid w:val="00251B56"/>
    <w:rsid w:val="002551A7"/>
    <w:rsid w:val="00257FF4"/>
    <w:rsid w:val="002623BD"/>
    <w:rsid w:val="002624C4"/>
    <w:rsid w:val="0026302D"/>
    <w:rsid w:val="002638FA"/>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1FF7"/>
    <w:rsid w:val="002B2A40"/>
    <w:rsid w:val="002B3E46"/>
    <w:rsid w:val="002B5F87"/>
    <w:rsid w:val="002C01BA"/>
    <w:rsid w:val="002C2500"/>
    <w:rsid w:val="002C3ED4"/>
    <w:rsid w:val="002C5F80"/>
    <w:rsid w:val="002D15E2"/>
    <w:rsid w:val="002D1AF7"/>
    <w:rsid w:val="002D2CE9"/>
    <w:rsid w:val="002D5824"/>
    <w:rsid w:val="002D6A6D"/>
    <w:rsid w:val="002D7BF7"/>
    <w:rsid w:val="002D7DD8"/>
    <w:rsid w:val="002E3DF1"/>
    <w:rsid w:val="002E57F7"/>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53BD"/>
    <w:rsid w:val="00335A77"/>
    <w:rsid w:val="003363D2"/>
    <w:rsid w:val="003374DA"/>
    <w:rsid w:val="00354827"/>
    <w:rsid w:val="00354D8B"/>
    <w:rsid w:val="00356793"/>
    <w:rsid w:val="00356AE3"/>
    <w:rsid w:val="00363D85"/>
    <w:rsid w:val="00366324"/>
    <w:rsid w:val="003669E8"/>
    <w:rsid w:val="0037064F"/>
    <w:rsid w:val="00371368"/>
    <w:rsid w:val="00373FA9"/>
    <w:rsid w:val="00383AD6"/>
    <w:rsid w:val="00383E0A"/>
    <w:rsid w:val="00384AD2"/>
    <w:rsid w:val="00387F1F"/>
    <w:rsid w:val="003A0047"/>
    <w:rsid w:val="003A1FE2"/>
    <w:rsid w:val="003A2813"/>
    <w:rsid w:val="003A570E"/>
    <w:rsid w:val="003A7B3C"/>
    <w:rsid w:val="003B2804"/>
    <w:rsid w:val="003B3D0A"/>
    <w:rsid w:val="003C0DB9"/>
    <w:rsid w:val="003D0EDE"/>
    <w:rsid w:val="003D1833"/>
    <w:rsid w:val="003E023C"/>
    <w:rsid w:val="003E1EB2"/>
    <w:rsid w:val="003E3086"/>
    <w:rsid w:val="003E4228"/>
    <w:rsid w:val="003E7115"/>
    <w:rsid w:val="003F0D3A"/>
    <w:rsid w:val="003F1343"/>
    <w:rsid w:val="003F71CB"/>
    <w:rsid w:val="004009D3"/>
    <w:rsid w:val="00401141"/>
    <w:rsid w:val="00405AC5"/>
    <w:rsid w:val="004106EC"/>
    <w:rsid w:val="00410B9F"/>
    <w:rsid w:val="00415ED4"/>
    <w:rsid w:val="0041650B"/>
    <w:rsid w:val="0042119B"/>
    <w:rsid w:val="00422105"/>
    <w:rsid w:val="0042261A"/>
    <w:rsid w:val="0042382F"/>
    <w:rsid w:val="004241A4"/>
    <w:rsid w:val="00424B12"/>
    <w:rsid w:val="0042600F"/>
    <w:rsid w:val="004267D1"/>
    <w:rsid w:val="00426D05"/>
    <w:rsid w:val="00430834"/>
    <w:rsid w:val="00430CD3"/>
    <w:rsid w:val="00435CE1"/>
    <w:rsid w:val="00437F8F"/>
    <w:rsid w:val="004407D1"/>
    <w:rsid w:val="00443CD0"/>
    <w:rsid w:val="004503E0"/>
    <w:rsid w:val="00450B7D"/>
    <w:rsid w:val="00455005"/>
    <w:rsid w:val="00455EBD"/>
    <w:rsid w:val="004569CE"/>
    <w:rsid w:val="00456DA9"/>
    <w:rsid w:val="00461716"/>
    <w:rsid w:val="00462760"/>
    <w:rsid w:val="0047057E"/>
    <w:rsid w:val="0047344F"/>
    <w:rsid w:val="0047412D"/>
    <w:rsid w:val="004760AD"/>
    <w:rsid w:val="00477975"/>
    <w:rsid w:val="00483559"/>
    <w:rsid w:val="00483F29"/>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D1D0A"/>
    <w:rsid w:val="004D2218"/>
    <w:rsid w:val="004D3372"/>
    <w:rsid w:val="004D4BFE"/>
    <w:rsid w:val="004D5A93"/>
    <w:rsid w:val="004D7E15"/>
    <w:rsid w:val="004E007C"/>
    <w:rsid w:val="004E11B3"/>
    <w:rsid w:val="004E1502"/>
    <w:rsid w:val="004E150F"/>
    <w:rsid w:val="004E331D"/>
    <w:rsid w:val="004E35D1"/>
    <w:rsid w:val="004F08A4"/>
    <w:rsid w:val="004F0EE9"/>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463F4"/>
    <w:rsid w:val="00550055"/>
    <w:rsid w:val="00552D41"/>
    <w:rsid w:val="005533E7"/>
    <w:rsid w:val="00557631"/>
    <w:rsid w:val="005578BC"/>
    <w:rsid w:val="005616AD"/>
    <w:rsid w:val="005616C9"/>
    <w:rsid w:val="00561E9D"/>
    <w:rsid w:val="00567FFD"/>
    <w:rsid w:val="0057177B"/>
    <w:rsid w:val="0057178D"/>
    <w:rsid w:val="0058111C"/>
    <w:rsid w:val="005845EF"/>
    <w:rsid w:val="00584CAD"/>
    <w:rsid w:val="00584E7D"/>
    <w:rsid w:val="0058617A"/>
    <w:rsid w:val="00593D64"/>
    <w:rsid w:val="00596447"/>
    <w:rsid w:val="005968B3"/>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74A8"/>
    <w:rsid w:val="0061788D"/>
    <w:rsid w:val="00622351"/>
    <w:rsid w:val="006234AE"/>
    <w:rsid w:val="0062655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6740E"/>
    <w:rsid w:val="00667F41"/>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5D05"/>
    <w:rsid w:val="006A6823"/>
    <w:rsid w:val="006A7B3D"/>
    <w:rsid w:val="006B099D"/>
    <w:rsid w:val="006B26A6"/>
    <w:rsid w:val="006B30E1"/>
    <w:rsid w:val="006C0099"/>
    <w:rsid w:val="006C0A51"/>
    <w:rsid w:val="006C66B7"/>
    <w:rsid w:val="006D1AF4"/>
    <w:rsid w:val="006D716F"/>
    <w:rsid w:val="006E5CD5"/>
    <w:rsid w:val="006E75AB"/>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36B72"/>
    <w:rsid w:val="0074014A"/>
    <w:rsid w:val="00742655"/>
    <w:rsid w:val="0074517C"/>
    <w:rsid w:val="00745FFC"/>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72C0"/>
    <w:rsid w:val="0078779E"/>
    <w:rsid w:val="00793394"/>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910"/>
    <w:rsid w:val="007F4195"/>
    <w:rsid w:val="00801B11"/>
    <w:rsid w:val="008035FD"/>
    <w:rsid w:val="008051D9"/>
    <w:rsid w:val="008057A5"/>
    <w:rsid w:val="00807984"/>
    <w:rsid w:val="00807F0C"/>
    <w:rsid w:val="0081031F"/>
    <w:rsid w:val="00811BCC"/>
    <w:rsid w:val="00812E22"/>
    <w:rsid w:val="008150F3"/>
    <w:rsid w:val="00815E69"/>
    <w:rsid w:val="00816D24"/>
    <w:rsid w:val="008238D3"/>
    <w:rsid w:val="008316C9"/>
    <w:rsid w:val="008336C6"/>
    <w:rsid w:val="00836D12"/>
    <w:rsid w:val="00840BE3"/>
    <w:rsid w:val="00843537"/>
    <w:rsid w:val="00844AE1"/>
    <w:rsid w:val="0084567A"/>
    <w:rsid w:val="00845DCC"/>
    <w:rsid w:val="00846256"/>
    <w:rsid w:val="00846607"/>
    <w:rsid w:val="00846A61"/>
    <w:rsid w:val="00850DD9"/>
    <w:rsid w:val="00856675"/>
    <w:rsid w:val="00857156"/>
    <w:rsid w:val="0086182D"/>
    <w:rsid w:val="00861F2E"/>
    <w:rsid w:val="008637DE"/>
    <w:rsid w:val="00865723"/>
    <w:rsid w:val="00865DEA"/>
    <w:rsid w:val="00866BC8"/>
    <w:rsid w:val="00872D6C"/>
    <w:rsid w:val="0087497C"/>
    <w:rsid w:val="008753DB"/>
    <w:rsid w:val="0087707A"/>
    <w:rsid w:val="0088764F"/>
    <w:rsid w:val="00890DB8"/>
    <w:rsid w:val="00894C64"/>
    <w:rsid w:val="0089551F"/>
    <w:rsid w:val="00897BE8"/>
    <w:rsid w:val="008A40E4"/>
    <w:rsid w:val="008A4816"/>
    <w:rsid w:val="008B03B5"/>
    <w:rsid w:val="008B169F"/>
    <w:rsid w:val="008B173D"/>
    <w:rsid w:val="008B48AF"/>
    <w:rsid w:val="008B4F6A"/>
    <w:rsid w:val="008B6E61"/>
    <w:rsid w:val="008C04BC"/>
    <w:rsid w:val="008C1537"/>
    <w:rsid w:val="008C33A4"/>
    <w:rsid w:val="008C6A53"/>
    <w:rsid w:val="008C7B0A"/>
    <w:rsid w:val="008D06FE"/>
    <w:rsid w:val="008D1DA1"/>
    <w:rsid w:val="008D2886"/>
    <w:rsid w:val="008D655B"/>
    <w:rsid w:val="008D68D6"/>
    <w:rsid w:val="008E201C"/>
    <w:rsid w:val="008E2D8B"/>
    <w:rsid w:val="008E3464"/>
    <w:rsid w:val="008E3E10"/>
    <w:rsid w:val="008E6731"/>
    <w:rsid w:val="008E7F92"/>
    <w:rsid w:val="008F297F"/>
    <w:rsid w:val="008F2D14"/>
    <w:rsid w:val="008F3757"/>
    <w:rsid w:val="008F4E26"/>
    <w:rsid w:val="008F5DA5"/>
    <w:rsid w:val="008F6037"/>
    <w:rsid w:val="008F6D44"/>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35DC5"/>
    <w:rsid w:val="00943E8A"/>
    <w:rsid w:val="009454BF"/>
    <w:rsid w:val="00947871"/>
    <w:rsid w:val="00953583"/>
    <w:rsid w:val="00954837"/>
    <w:rsid w:val="00955F3D"/>
    <w:rsid w:val="00957658"/>
    <w:rsid w:val="009621A7"/>
    <w:rsid w:val="00962DCF"/>
    <w:rsid w:val="00963D50"/>
    <w:rsid w:val="00964163"/>
    <w:rsid w:val="0096547D"/>
    <w:rsid w:val="00970515"/>
    <w:rsid w:val="00975EA7"/>
    <w:rsid w:val="00982F05"/>
    <w:rsid w:val="00983382"/>
    <w:rsid w:val="00983817"/>
    <w:rsid w:val="00984EA5"/>
    <w:rsid w:val="00987CFA"/>
    <w:rsid w:val="0099160E"/>
    <w:rsid w:val="0099766E"/>
    <w:rsid w:val="009A5003"/>
    <w:rsid w:val="009A513D"/>
    <w:rsid w:val="009B1798"/>
    <w:rsid w:val="009B23B8"/>
    <w:rsid w:val="009B38E7"/>
    <w:rsid w:val="009B5379"/>
    <w:rsid w:val="009B5884"/>
    <w:rsid w:val="009C1F29"/>
    <w:rsid w:val="009C49CB"/>
    <w:rsid w:val="009D2066"/>
    <w:rsid w:val="009D4CBF"/>
    <w:rsid w:val="009E4DA4"/>
    <w:rsid w:val="009E5685"/>
    <w:rsid w:val="009E70F1"/>
    <w:rsid w:val="009E764A"/>
    <w:rsid w:val="009F17A7"/>
    <w:rsid w:val="009F314C"/>
    <w:rsid w:val="009F3D84"/>
    <w:rsid w:val="009F666E"/>
    <w:rsid w:val="009F6FFB"/>
    <w:rsid w:val="00A00809"/>
    <w:rsid w:val="00A0449D"/>
    <w:rsid w:val="00A056CB"/>
    <w:rsid w:val="00A064DD"/>
    <w:rsid w:val="00A0771F"/>
    <w:rsid w:val="00A11501"/>
    <w:rsid w:val="00A15786"/>
    <w:rsid w:val="00A15D1D"/>
    <w:rsid w:val="00A17730"/>
    <w:rsid w:val="00A20A80"/>
    <w:rsid w:val="00A22916"/>
    <w:rsid w:val="00A2454C"/>
    <w:rsid w:val="00A26B26"/>
    <w:rsid w:val="00A27C2E"/>
    <w:rsid w:val="00A31925"/>
    <w:rsid w:val="00A3209A"/>
    <w:rsid w:val="00A47B56"/>
    <w:rsid w:val="00A47D12"/>
    <w:rsid w:val="00A47E9E"/>
    <w:rsid w:val="00A502B6"/>
    <w:rsid w:val="00A51C02"/>
    <w:rsid w:val="00A52162"/>
    <w:rsid w:val="00A57ABE"/>
    <w:rsid w:val="00A635DA"/>
    <w:rsid w:val="00A66110"/>
    <w:rsid w:val="00A661EA"/>
    <w:rsid w:val="00A70AD1"/>
    <w:rsid w:val="00A72227"/>
    <w:rsid w:val="00A749F3"/>
    <w:rsid w:val="00A74FEA"/>
    <w:rsid w:val="00A77575"/>
    <w:rsid w:val="00A804ED"/>
    <w:rsid w:val="00A8074D"/>
    <w:rsid w:val="00A82393"/>
    <w:rsid w:val="00A82BE4"/>
    <w:rsid w:val="00A82D8B"/>
    <w:rsid w:val="00A911A8"/>
    <w:rsid w:val="00A91B2D"/>
    <w:rsid w:val="00A9401F"/>
    <w:rsid w:val="00A94DF6"/>
    <w:rsid w:val="00AA0C38"/>
    <w:rsid w:val="00AA2436"/>
    <w:rsid w:val="00AA2AB5"/>
    <w:rsid w:val="00AA5FC8"/>
    <w:rsid w:val="00AB18C4"/>
    <w:rsid w:val="00AB3C8F"/>
    <w:rsid w:val="00AB4BDE"/>
    <w:rsid w:val="00AB7BC2"/>
    <w:rsid w:val="00AC08D6"/>
    <w:rsid w:val="00AC0D04"/>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7753"/>
    <w:rsid w:val="00B436EB"/>
    <w:rsid w:val="00B44ED8"/>
    <w:rsid w:val="00B46298"/>
    <w:rsid w:val="00B462DB"/>
    <w:rsid w:val="00B5082D"/>
    <w:rsid w:val="00B515D9"/>
    <w:rsid w:val="00B53C7F"/>
    <w:rsid w:val="00B5534A"/>
    <w:rsid w:val="00B557A9"/>
    <w:rsid w:val="00B57BDD"/>
    <w:rsid w:val="00B60288"/>
    <w:rsid w:val="00B63990"/>
    <w:rsid w:val="00B64475"/>
    <w:rsid w:val="00B64DBB"/>
    <w:rsid w:val="00B6745A"/>
    <w:rsid w:val="00B702F9"/>
    <w:rsid w:val="00B82568"/>
    <w:rsid w:val="00B82ADA"/>
    <w:rsid w:val="00B84234"/>
    <w:rsid w:val="00B85427"/>
    <w:rsid w:val="00B855EE"/>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520F"/>
    <w:rsid w:val="00BB7EF7"/>
    <w:rsid w:val="00BC0A33"/>
    <w:rsid w:val="00BC7080"/>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5C8D"/>
    <w:rsid w:val="00C05DA8"/>
    <w:rsid w:val="00C063FC"/>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3790"/>
    <w:rsid w:val="00CD442C"/>
    <w:rsid w:val="00CD45C5"/>
    <w:rsid w:val="00CD52FD"/>
    <w:rsid w:val="00CD6068"/>
    <w:rsid w:val="00CD63D5"/>
    <w:rsid w:val="00CD7025"/>
    <w:rsid w:val="00CE050C"/>
    <w:rsid w:val="00CE0F03"/>
    <w:rsid w:val="00CE1B5C"/>
    <w:rsid w:val="00CE2963"/>
    <w:rsid w:val="00CE478D"/>
    <w:rsid w:val="00CE6FC5"/>
    <w:rsid w:val="00CE7E51"/>
    <w:rsid w:val="00CF02BA"/>
    <w:rsid w:val="00D00832"/>
    <w:rsid w:val="00D02745"/>
    <w:rsid w:val="00D03A65"/>
    <w:rsid w:val="00D05E65"/>
    <w:rsid w:val="00D06244"/>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733D"/>
    <w:rsid w:val="00D90A26"/>
    <w:rsid w:val="00D95910"/>
    <w:rsid w:val="00D978A4"/>
    <w:rsid w:val="00DA4170"/>
    <w:rsid w:val="00DB374E"/>
    <w:rsid w:val="00DB3E82"/>
    <w:rsid w:val="00DB4EAF"/>
    <w:rsid w:val="00DB5C26"/>
    <w:rsid w:val="00DB660E"/>
    <w:rsid w:val="00DB7AEE"/>
    <w:rsid w:val="00DC01EF"/>
    <w:rsid w:val="00DC11B0"/>
    <w:rsid w:val="00DC197E"/>
    <w:rsid w:val="00DC3958"/>
    <w:rsid w:val="00DC5162"/>
    <w:rsid w:val="00DC67E6"/>
    <w:rsid w:val="00DC76A1"/>
    <w:rsid w:val="00DD4EB3"/>
    <w:rsid w:val="00DD71F0"/>
    <w:rsid w:val="00DE0214"/>
    <w:rsid w:val="00DE7EA5"/>
    <w:rsid w:val="00DF159C"/>
    <w:rsid w:val="00DF2655"/>
    <w:rsid w:val="00DF286B"/>
    <w:rsid w:val="00DF3632"/>
    <w:rsid w:val="00DF3BFD"/>
    <w:rsid w:val="00DF3C86"/>
    <w:rsid w:val="00DF43B0"/>
    <w:rsid w:val="00DF662A"/>
    <w:rsid w:val="00DF66C1"/>
    <w:rsid w:val="00E0059D"/>
    <w:rsid w:val="00E03156"/>
    <w:rsid w:val="00E044A2"/>
    <w:rsid w:val="00E06FBB"/>
    <w:rsid w:val="00E1206D"/>
    <w:rsid w:val="00E120E9"/>
    <w:rsid w:val="00E13645"/>
    <w:rsid w:val="00E14B07"/>
    <w:rsid w:val="00E208A5"/>
    <w:rsid w:val="00E20E7A"/>
    <w:rsid w:val="00E20E89"/>
    <w:rsid w:val="00E26C42"/>
    <w:rsid w:val="00E27D8A"/>
    <w:rsid w:val="00E35D3D"/>
    <w:rsid w:val="00E40D9C"/>
    <w:rsid w:val="00E42CF2"/>
    <w:rsid w:val="00E503A6"/>
    <w:rsid w:val="00E50433"/>
    <w:rsid w:val="00E52026"/>
    <w:rsid w:val="00E5555E"/>
    <w:rsid w:val="00E576B6"/>
    <w:rsid w:val="00E57F81"/>
    <w:rsid w:val="00E60C50"/>
    <w:rsid w:val="00E61074"/>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482E"/>
    <w:rsid w:val="00EA6378"/>
    <w:rsid w:val="00EA770C"/>
    <w:rsid w:val="00EB166D"/>
    <w:rsid w:val="00EB4775"/>
    <w:rsid w:val="00EB53F9"/>
    <w:rsid w:val="00EB5F3E"/>
    <w:rsid w:val="00ED044B"/>
    <w:rsid w:val="00ED189B"/>
    <w:rsid w:val="00ED4588"/>
    <w:rsid w:val="00ED4841"/>
    <w:rsid w:val="00ED64C2"/>
    <w:rsid w:val="00EE1998"/>
    <w:rsid w:val="00EE2967"/>
    <w:rsid w:val="00EE5513"/>
    <w:rsid w:val="00EE5F1B"/>
    <w:rsid w:val="00EE618C"/>
    <w:rsid w:val="00EE7AB9"/>
    <w:rsid w:val="00EF0D12"/>
    <w:rsid w:val="00EF21F4"/>
    <w:rsid w:val="00EF2DCE"/>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668"/>
    <w:rsid w:val="00F478EC"/>
    <w:rsid w:val="00F500D0"/>
    <w:rsid w:val="00F53620"/>
    <w:rsid w:val="00F542F5"/>
    <w:rsid w:val="00F54A5E"/>
    <w:rsid w:val="00F55D28"/>
    <w:rsid w:val="00F56404"/>
    <w:rsid w:val="00F64307"/>
    <w:rsid w:val="00F643AE"/>
    <w:rsid w:val="00F6464B"/>
    <w:rsid w:val="00F65B24"/>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6DB7"/>
    <w:rsid w:val="00FD73A0"/>
    <w:rsid w:val="00FD769B"/>
    <w:rsid w:val="00FE169F"/>
    <w:rsid w:val="00FF042B"/>
    <w:rsid w:val="00FF0F12"/>
    <w:rsid w:val="00FF2CCF"/>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ses.gob.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rvicios.infoleg.gob.ar/infolegInternet/anexos/210000-214999/210489/norma.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64627-8B08-45D5-A672-C9CAAC5D9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500</Words>
  <Characters>2753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Admin</cp:lastModifiedBy>
  <cp:revision>3</cp:revision>
  <dcterms:created xsi:type="dcterms:W3CDTF">2019-07-26T22:16:00Z</dcterms:created>
  <dcterms:modified xsi:type="dcterms:W3CDTF">2019-07-26T22:26:00Z</dcterms:modified>
</cp:coreProperties>
</file>